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2125980" cy="323850"/>
                <wp:effectExtent b="0" l="0" r="0" t="0"/>
                <wp:wrapSquare wrapText="bothSides" distB="0" distT="0" distL="114300" distR="114300"/>
                <wp:docPr id="31" name=""/>
                <a:graphic>
                  <a:graphicData uri="http://schemas.microsoft.com/office/word/2010/wordprocessingShape">
                    <wps:wsp>
                      <wps:cNvSpPr/>
                      <wps:cNvPr id="14" name="Shape 14"/>
                      <wps:spPr>
                        <a:xfrm>
                          <a:off x="4302060" y="3637125"/>
                          <a:ext cx="2087880" cy="285750"/>
                        </a:xfrm>
                        <a:prstGeom prst="rect">
                          <a:avLst/>
                        </a:prstGeom>
                        <a:noFill/>
                        <a:ln cap="flat" cmpd="sng" w="9525">
                          <a:solidFill>
                            <a:srgbClr val="A8C73D"/>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PT Sans" w:cs="PT Sans" w:eastAsia="PT Sans" w:hAnsi="PT Sans"/>
                                <w:b w:val="1"/>
                                <w:i w:val="0"/>
                                <w:smallCaps w:val="0"/>
                                <w:strike w:val="0"/>
                                <w:color w:val="a8c73d"/>
                                <w:sz w:val="24"/>
                                <w:vertAlign w:val="baseline"/>
                              </w:rPr>
                              <w:t xml:space="preserve">PRESS RELEASE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177800</wp:posOffset>
                </wp:positionV>
                <wp:extent cx="2125980" cy="323850"/>
                <wp:effectExtent b="0" l="0" r="0" t="0"/>
                <wp:wrapSquare wrapText="bothSides" distB="0" distT="0" distL="114300" distR="114300"/>
                <wp:docPr id="31"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125980" cy="323850"/>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240" w:lineRule="auto"/>
        <w:rPr>
          <w:rFonts w:ascii="Arial" w:cs="Arial" w:eastAsia="Arial" w:hAnsi="Arial"/>
          <w:b w:val="1"/>
          <w:color w:val="a8c73d"/>
          <w:sz w:val="36"/>
          <w:szCs w:val="36"/>
        </w:rPr>
      </w:pPr>
      <w:bookmarkStart w:colFirst="0" w:colLast="0" w:name="_heading=h.gjdgxs" w:id="0"/>
      <w:bookmarkEnd w:id="0"/>
      <w:r w:rsidDel="00000000" w:rsidR="00000000" w:rsidRPr="00000000">
        <w:rPr>
          <w:rFonts w:ascii="Arial" w:cs="Arial" w:eastAsia="Arial" w:hAnsi="Arial"/>
          <w:b w:val="1"/>
          <w:color w:val="a8c73d"/>
          <w:sz w:val="36"/>
          <w:szCs w:val="36"/>
          <w:rtl w:val="0"/>
        </w:rPr>
        <w:t xml:space="preserve">Race of the beech trees: one week before the end o</w:t>
      </w:r>
      <w:r w:rsidDel="00000000" w:rsidR="00000000" w:rsidRPr="00000000">
        <w:rPr>
          <w:rFonts w:ascii="Arial" w:cs="Arial" w:eastAsia="Arial" w:hAnsi="Arial"/>
          <w:b w:val="1"/>
          <w:color w:val="a8c73d"/>
          <w:sz w:val="36"/>
          <w:szCs w:val="36"/>
          <w:rtl w:val="0"/>
        </w:rPr>
        <w:t xml:space="preserve">f voting, the Polish Heart of the Garden beech takes over The Weeping Beech of Bayeux to lead in the European Tree of the Year 2024!</w:t>
      </w:r>
    </w:p>
    <w:p w:rsidR="00000000" w:rsidDel="00000000" w:rsidP="00000000" w:rsidRDefault="00000000" w:rsidRPr="00000000" w14:paraId="00000004">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Brussels, February 15th 2024, </w:t>
      </w:r>
    </w:p>
    <w:p w:rsidR="00000000" w:rsidDel="00000000" w:rsidP="00000000" w:rsidRDefault="00000000" w:rsidRPr="00000000" w14:paraId="00000005">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One week has passed since the last announcement of the current standing in the ETY 2024. The contest now see</w:t>
      </w:r>
      <w:r w:rsidDel="00000000" w:rsidR="00000000" w:rsidRPr="00000000">
        <w:rPr>
          <w:rFonts w:ascii="Arial" w:cs="Arial" w:eastAsia="Arial" w:hAnsi="Arial"/>
          <w:b w:val="1"/>
          <w:sz w:val="20"/>
          <w:szCs w:val="20"/>
          <w:rtl w:val="0"/>
        </w:rPr>
        <w:t xml:space="preserve">s The Heart of the Garden in the lead followed by The Weeping Beech of Bayeux and The Thousand-year-old Olive Tree of Luras one week before the end of the vote. Europeans can still vote in the final week until February 22nd, 4:00 PM CET, at </w:t>
      </w:r>
      <w:hyperlink r:id="rId8">
        <w:r w:rsidDel="00000000" w:rsidR="00000000" w:rsidRPr="00000000">
          <w:rPr>
            <w:rFonts w:ascii="Arial" w:cs="Arial" w:eastAsia="Arial" w:hAnsi="Arial"/>
            <w:b w:val="1"/>
            <w:color w:val="a8c73d"/>
            <w:sz w:val="20"/>
            <w:szCs w:val="20"/>
            <w:u w:val="single"/>
            <w:rtl w:val="0"/>
          </w:rPr>
          <w:t xml:space="preserve">www.treeoftheyear.org</w:t>
        </w:r>
      </w:hyperlink>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6">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the vote in ETY 2024 is moving into its final week, we see a shuffle at the top of the table. The Weeping Beech of Bayeux from France with 13,753 votes has swapped places with the Polish Heart of the Garden which is currently leading the peloton with 21,808 votes. The Thousand-year-old Olive Tree of Luras from Italy with 8,812 is currently third. The change of positions correlates with the intensification of the online campaign in support of the finalist trees. The complete table of the current standing can be found at the bottom of this press release. </w:t>
      </w:r>
    </w:p>
    <w:p w:rsidR="00000000" w:rsidDel="00000000" w:rsidP="00000000" w:rsidRDefault="00000000" w:rsidRPr="00000000" w14:paraId="00000007">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of the key themes of ETY is the relationship local communities have with their natural environment. </w:t>
      </w:r>
      <w:r w:rsidDel="00000000" w:rsidR="00000000" w:rsidRPr="00000000">
        <w:rPr>
          <w:rFonts w:ascii="Arial" w:cs="Arial" w:eastAsia="Arial" w:hAnsi="Arial"/>
          <w:sz w:val="20"/>
          <w:szCs w:val="20"/>
          <w:rtl w:val="0"/>
        </w:rPr>
        <w:t xml:space="preserve">This year, the contest is supported by the </w:t>
      </w:r>
      <w:r w:rsidDel="00000000" w:rsidR="00000000" w:rsidRPr="00000000">
        <w:rPr>
          <w:rFonts w:ascii="Arial" w:cs="Arial" w:eastAsia="Arial" w:hAnsi="Arial"/>
          <w:b w:val="1"/>
          <w:sz w:val="20"/>
          <w:szCs w:val="20"/>
          <w:rtl w:val="0"/>
        </w:rPr>
        <w:t xml:space="preserve">Czech Ministry of the Environment</w:t>
      </w:r>
      <w:r w:rsidDel="00000000" w:rsidR="00000000" w:rsidRPr="00000000">
        <w:rPr>
          <w:rFonts w:ascii="Arial" w:cs="Arial" w:eastAsia="Arial" w:hAnsi="Arial"/>
          <w:sz w:val="20"/>
          <w:szCs w:val="20"/>
          <w:rtl w:val="0"/>
        </w:rPr>
        <w:t xml:space="preserve">, which traditionally plays a positive role supporting this relationship</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The Ministry of the Environment of the Czech Republic has long been trying to strengthen the relationship between local communities and their natural treasures, whether through subsidies for, among other things, planting community green spaces, restoring and creating landscape features, and our recent research project on community gardens in cities to determine their potential in times of crisis such as the COVID pandemic. The importance of community gardens, which offer a space for relaxation, a green island in times of heat, a haven for urban biodiversity and food sovereignty, will grow in the future, and we therefore want to support them,</w:t>
      </w:r>
      <w:r w:rsidDel="00000000" w:rsidR="00000000" w:rsidRPr="00000000">
        <w:rPr>
          <w:rFonts w:ascii="Arial" w:cs="Arial" w:eastAsia="Arial" w:hAnsi="Arial"/>
          <w:sz w:val="20"/>
          <w:szCs w:val="20"/>
          <w:rtl w:val="0"/>
        </w:rPr>
        <w:t xml:space="preserve">” explains </w:t>
      </w:r>
      <w:r w:rsidDel="00000000" w:rsidR="00000000" w:rsidRPr="00000000">
        <w:rPr>
          <w:rFonts w:ascii="Arial" w:cs="Arial" w:eastAsia="Arial" w:hAnsi="Arial"/>
          <w:b w:val="1"/>
          <w:sz w:val="20"/>
          <w:szCs w:val="20"/>
          <w:rtl w:val="0"/>
        </w:rPr>
        <w:t xml:space="preserve">Petr Hladík, Czech Minister for the Environment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8">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Preparations for the</w:t>
      </w:r>
      <w:r w:rsidDel="00000000" w:rsidR="00000000" w:rsidRPr="00000000">
        <w:rPr>
          <w:rFonts w:ascii="Arial" w:cs="Arial" w:eastAsia="Arial" w:hAnsi="Arial"/>
          <w:b w:val="1"/>
          <w:sz w:val="20"/>
          <w:szCs w:val="20"/>
          <w:rtl w:val="0"/>
        </w:rPr>
        <w:t xml:space="preserve"> award ceremony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 March 20th in the European Parliament, PAUL - HENRI SPAAK building, Floor 1, YEHUDI MENUHIN amphitheatre</w:t>
      </w:r>
      <w:r w:rsidDel="00000000" w:rsidR="00000000" w:rsidRPr="00000000">
        <w:rPr>
          <w:rFonts w:ascii="Arial" w:cs="Arial" w:eastAsia="Arial" w:hAnsi="Arial"/>
          <w:sz w:val="20"/>
          <w:szCs w:val="20"/>
          <w:rtl w:val="0"/>
        </w:rPr>
        <w:t xml:space="preserve"> are advancing. “</w:t>
      </w:r>
      <w:r w:rsidDel="00000000" w:rsidR="00000000" w:rsidRPr="00000000">
        <w:rPr>
          <w:rFonts w:ascii="Arial" w:cs="Arial" w:eastAsia="Arial" w:hAnsi="Arial"/>
          <w:i w:val="1"/>
          <w:sz w:val="20"/>
          <w:szCs w:val="20"/>
          <w:rtl w:val="0"/>
        </w:rPr>
        <w:t xml:space="preserve">Alongside the voting, we are busy with preparing the Award Ceremony. I am responsible for liaising between the organisers of the event and EU institutions and I can now confidently say that this year will enjoy a particularly high level of recognition from the ranks of the EU's policy makers. More details on this will come with the “save-the-date” followed by an official invitation to the event which we will send out at the end of February,</w:t>
      </w:r>
      <w:r w:rsidDel="00000000" w:rsidR="00000000" w:rsidRPr="00000000">
        <w:rPr>
          <w:rFonts w:ascii="Arial" w:cs="Arial" w:eastAsia="Arial" w:hAnsi="Arial"/>
          <w:sz w:val="20"/>
          <w:szCs w:val="20"/>
          <w:rtl w:val="0"/>
        </w:rPr>
        <w:t xml:space="preserve">” hints Adam Holub, the Brussels representative of the Czech Environmental Partnership Foundation. </w:t>
      </w:r>
    </w:p>
    <w:p w:rsidR="00000000" w:rsidDel="00000000" w:rsidP="00000000" w:rsidRDefault="00000000" w:rsidRPr="00000000" w14:paraId="00000009">
      <w:pPr>
        <w:spacing w:after="120" w:before="120" w:lineRule="auto"/>
        <w:rPr>
          <w:color w:val="a8c73d"/>
          <w:u w:val="single"/>
        </w:rPr>
      </w:pPr>
      <w:hyperlink r:id="rId9">
        <w:r w:rsidDel="00000000" w:rsidR="00000000" w:rsidRPr="00000000">
          <w:rPr>
            <w:rFonts w:ascii="Arial" w:cs="Arial" w:eastAsia="Arial" w:hAnsi="Arial"/>
            <w:b w:val="1"/>
            <w:color w:val="1155cc"/>
            <w:sz w:val="20"/>
            <w:szCs w:val="20"/>
            <w:u w:val="single"/>
            <w:rtl w:val="0"/>
          </w:rPr>
          <w:t xml:space="preserve">Download the tree pictures here</w:t>
        </w:r>
      </w:hyperlink>
      <w:r w:rsidDel="00000000" w:rsidR="00000000" w:rsidRPr="00000000">
        <w:rPr>
          <w:rtl w:val="0"/>
        </w:rPr>
      </w:r>
    </w:p>
    <w:p w:rsidR="00000000" w:rsidDel="00000000" w:rsidP="00000000" w:rsidRDefault="00000000" w:rsidRPr="00000000" w14:paraId="0000000A">
      <w:pPr>
        <w:tabs>
          <w:tab w:val="left" w:leader="none" w:pos="5875"/>
        </w:tabs>
        <w:spacing w:after="120" w:before="120" w:lineRule="auto"/>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0"/>
          <w:szCs w:val="20"/>
          <w:rtl w:val="0"/>
        </w:rPr>
        <w:t xml:space="preserve">Key dates:</w:t>
      </w:r>
      <w:r w:rsidDel="00000000" w:rsidR="00000000" w:rsidRPr="00000000">
        <w:rPr>
          <w:rtl w:val="0"/>
        </w:rPr>
      </w:r>
    </w:p>
    <w:p w:rsidR="00000000" w:rsidDel="00000000" w:rsidP="00000000" w:rsidRDefault="00000000" w:rsidRPr="00000000" w14:paraId="0000000B">
      <w:pPr>
        <w:numPr>
          <w:ilvl w:val="0"/>
          <w:numId w:val="1"/>
        </w:numPr>
        <w:tabs>
          <w:tab w:val="left" w:leader="none" w:pos="5875"/>
        </w:tabs>
        <w:spacing w:after="0" w:before="120" w:lineRule="auto"/>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1. – 22. 2. 2024:</w:t>
      </w:r>
      <w:r w:rsidDel="00000000" w:rsidR="00000000" w:rsidRPr="00000000">
        <w:rPr>
          <w:rFonts w:ascii="Arial" w:cs="Arial" w:eastAsia="Arial" w:hAnsi="Arial"/>
          <w:b w:val="1"/>
          <w:sz w:val="20"/>
          <w:szCs w:val="20"/>
          <w:rtl w:val="0"/>
        </w:rPr>
        <w:t xml:space="preserve"> Secret voting open at </w:t>
      </w:r>
      <w:hyperlink r:id="rId10">
        <w:r w:rsidDel="00000000" w:rsidR="00000000" w:rsidRPr="00000000">
          <w:rPr>
            <w:rFonts w:ascii="Arial" w:cs="Arial" w:eastAsia="Arial" w:hAnsi="Arial"/>
            <w:b w:val="1"/>
            <w:color w:val="a8c73d"/>
            <w:sz w:val="20"/>
            <w:szCs w:val="20"/>
            <w:u w:val="single"/>
            <w:rtl w:val="0"/>
          </w:rPr>
          <w:t xml:space="preserve">www.treeoftheyear.org/vote</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875"/>
        </w:tabs>
        <w:spacing w:after="120" w:before="0" w:line="276"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sz w:val="20"/>
          <w:szCs w:val="20"/>
          <w:rtl w:val="0"/>
        </w:rPr>
        <w:t xml:space="preserve">0</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3. 202</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Award Ceremony at the European Parliament, </w:t>
      </w:r>
      <w:r w:rsidDel="00000000" w:rsidR="00000000" w:rsidRPr="00000000">
        <w:rPr>
          <w:rFonts w:ascii="Arial" w:cs="Arial" w:eastAsia="Arial" w:hAnsi="Arial"/>
          <w:b w:val="1"/>
          <w:sz w:val="20"/>
          <w:szCs w:val="20"/>
          <w:rtl w:val="0"/>
        </w:rPr>
        <w:t xml:space="preserve">PAUL-HENRI SPAAK building, Floor 1, YEHUDI MENUHIN amphitheatre</w:t>
      </w:r>
      <w:r w:rsidDel="00000000" w:rsidR="00000000" w:rsidRPr="00000000">
        <w:rPr>
          <w:rtl w:val="0"/>
        </w:rPr>
      </w:r>
    </w:p>
    <w:p w:rsidR="00000000" w:rsidDel="00000000" w:rsidP="00000000" w:rsidRDefault="00000000" w:rsidRPr="00000000" w14:paraId="0000000D">
      <w:pPr>
        <w:tabs>
          <w:tab w:val="left" w:leader="none" w:pos="5875"/>
        </w:tabs>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Media Contacts:</w:t>
      </w:r>
    </w:p>
    <w:p w:rsidR="00000000" w:rsidDel="00000000" w:rsidP="00000000" w:rsidRDefault="00000000" w:rsidRPr="00000000" w14:paraId="0000000E">
      <w:pPr>
        <w:tabs>
          <w:tab w:val="left" w:leader="none" w:pos="5875"/>
        </w:tabs>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Adam Holub: </w:t>
      </w:r>
      <w:r w:rsidDel="00000000" w:rsidR="00000000" w:rsidRPr="00000000">
        <w:rPr>
          <w:rFonts w:ascii="Arial" w:cs="Arial" w:eastAsia="Arial" w:hAnsi="Arial"/>
          <w:color w:val="0563c1"/>
          <w:sz w:val="20"/>
          <w:szCs w:val="20"/>
          <w:u w:val="single"/>
          <w:rtl w:val="0"/>
        </w:rPr>
        <w:t xml:space="preserve">adam.holub@nadacepartnerstvi.cz</w:t>
      </w:r>
      <w:r w:rsidDel="00000000" w:rsidR="00000000" w:rsidRPr="00000000">
        <w:rPr>
          <w:rFonts w:ascii="Arial" w:cs="Arial" w:eastAsia="Arial" w:hAnsi="Arial"/>
          <w:sz w:val="20"/>
          <w:szCs w:val="20"/>
          <w:rtl w:val="0"/>
        </w:rPr>
        <w:t xml:space="preserve"> — (+420) 777 053 722</w:t>
      </w:r>
    </w:p>
    <w:p w:rsidR="00000000" w:rsidDel="00000000" w:rsidP="00000000" w:rsidRDefault="00000000" w:rsidRPr="00000000" w14:paraId="0000000F">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color w:val="a8c73d"/>
          <w:sz w:val="20"/>
          <w:szCs w:val="20"/>
        </w:rPr>
      </w:pPr>
      <w:r w:rsidDel="00000000" w:rsidR="00000000" w:rsidRPr="00000000">
        <w:rPr>
          <w:rFonts w:ascii="Arial" w:cs="Arial" w:eastAsia="Arial" w:hAnsi="Arial"/>
          <w:b w:val="1"/>
          <w:color w:val="a8c73d"/>
          <w:sz w:val="20"/>
          <w:szCs w:val="20"/>
          <w:rtl w:val="0"/>
        </w:rPr>
        <w:t xml:space="preserve">Ranking at 22:00 CET on February 14th:</w:t>
      </w: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sz w:val="20"/>
          <w:szCs w:val="20"/>
        </w:rPr>
      </w:pPr>
      <w:r w:rsidDel="00000000" w:rsidR="00000000" w:rsidRPr="00000000">
        <w:rPr>
          <w:rtl w:val="0"/>
        </w:rPr>
      </w:r>
    </w:p>
    <w:tbl>
      <w:tblPr>
        <w:tblStyle w:val="Table1"/>
        <w:tblW w:w="9810.0" w:type="dxa"/>
        <w:jc w:val="left"/>
        <w:tblLayout w:type="fixed"/>
        <w:tblLook w:val="0400"/>
      </w:tblPr>
      <w:tblGrid>
        <w:gridCol w:w="1631.27562642369"/>
        <w:gridCol w:w="3173.1662870159453"/>
        <w:gridCol w:w="2502.779043280182"/>
        <w:gridCol w:w="2502.779043280182"/>
        <w:tblGridChange w:id="0">
          <w:tblGrid>
            <w:gridCol w:w="1631.27562642369"/>
            <w:gridCol w:w="3173.1662870159453"/>
            <w:gridCol w:w="2502.779043280182"/>
            <w:gridCol w:w="2502.779043280182"/>
          </w:tblGrid>
        </w:tblGridChange>
      </w:tblGrid>
      <w:tr>
        <w:trPr>
          <w:cantSplit w:val="0"/>
          <w:trHeight w:val="286"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Rank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of the tree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Country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votes</w:t>
            </w:r>
          </w:p>
        </w:tc>
      </w:tr>
      <w:tr>
        <w:trPr>
          <w:cantSplit w:val="0"/>
          <w:trHeight w:val="261"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0" w:lineRule="auto"/>
              <w:rPr>
                <w:rFonts w:ascii="Arial" w:cs="Arial" w:eastAsia="Arial" w:hAnsi="Arial"/>
                <w:color w:val="1155cc"/>
                <w:sz w:val="18"/>
                <w:szCs w:val="18"/>
                <w:u w:val="single"/>
              </w:rPr>
            </w:pPr>
            <w:hyperlink r:id="rId11">
              <w:r w:rsidDel="00000000" w:rsidR="00000000" w:rsidRPr="00000000">
                <w:rPr>
                  <w:rFonts w:ascii="Arial" w:cs="Arial" w:eastAsia="Arial" w:hAnsi="Arial"/>
                  <w:color w:val="1155cc"/>
                  <w:sz w:val="18"/>
                  <w:szCs w:val="18"/>
                  <w:u w:val="single"/>
                  <w:rtl w:val="0"/>
                </w:rPr>
                <w:t xml:space="preserve">The Heart of the Garden</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Poland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21,808</w:t>
            </w:r>
          </w:p>
        </w:tc>
      </w:tr>
      <w:tr>
        <w:trPr>
          <w:cantSplit w:val="0"/>
          <w:trHeight w:val="336"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0" w:lineRule="auto"/>
              <w:rPr>
                <w:rFonts w:ascii="Arial" w:cs="Arial" w:eastAsia="Arial" w:hAnsi="Arial"/>
                <w:color w:val="1155cc"/>
                <w:sz w:val="18"/>
                <w:szCs w:val="18"/>
                <w:u w:val="single"/>
              </w:rPr>
            </w:pPr>
            <w:hyperlink r:id="rId12">
              <w:r w:rsidDel="00000000" w:rsidR="00000000" w:rsidRPr="00000000">
                <w:rPr>
                  <w:rFonts w:ascii="Arial" w:cs="Arial" w:eastAsia="Arial" w:hAnsi="Arial"/>
                  <w:color w:val="1155cc"/>
                  <w:sz w:val="18"/>
                  <w:szCs w:val="18"/>
                  <w:u w:val="single"/>
                  <w:rtl w:val="0"/>
                </w:rPr>
                <w:t xml:space="preserve">The Weeping Beech of Bayeux</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France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13,753</w:t>
            </w:r>
          </w:p>
        </w:tc>
      </w:tr>
      <w:tr>
        <w:trPr>
          <w:cantSplit w:val="0"/>
          <w:trHeight w:val="248"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after="0" w:lineRule="auto"/>
              <w:rPr>
                <w:rFonts w:ascii="Arial" w:cs="Arial" w:eastAsia="Arial" w:hAnsi="Arial"/>
                <w:color w:val="1155cc"/>
                <w:sz w:val="18"/>
                <w:szCs w:val="18"/>
                <w:u w:val="single"/>
              </w:rPr>
            </w:pPr>
            <w:hyperlink r:id="rId13">
              <w:r w:rsidDel="00000000" w:rsidR="00000000" w:rsidRPr="00000000">
                <w:rPr>
                  <w:rFonts w:ascii="Arial" w:cs="Arial" w:eastAsia="Arial" w:hAnsi="Arial"/>
                  <w:color w:val="1155cc"/>
                  <w:sz w:val="18"/>
                  <w:szCs w:val="18"/>
                  <w:u w:val="single"/>
                  <w:rtl w:val="0"/>
                </w:rPr>
                <w:t xml:space="preserve">The Thousand-year-old Olive Tree of Luras</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Italy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8,812</w:t>
            </w:r>
          </w:p>
        </w:tc>
      </w:tr>
      <w:tr>
        <w:trPr>
          <w:cantSplit w:val="0"/>
          <w:trHeight w:val="261" w:hRule="atLeast"/>
          <w:tblHeader w:val="1"/>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0" w:lineRule="auto"/>
              <w:rPr>
                <w:rFonts w:ascii="Arial" w:cs="Arial" w:eastAsia="Arial" w:hAnsi="Arial"/>
                <w:color w:val="1155cc"/>
                <w:sz w:val="18"/>
                <w:szCs w:val="18"/>
                <w:u w:val="single"/>
              </w:rPr>
            </w:pPr>
            <w:hyperlink r:id="rId14">
              <w:r w:rsidDel="00000000" w:rsidR="00000000" w:rsidRPr="00000000">
                <w:rPr>
                  <w:rFonts w:ascii="Arial" w:cs="Arial" w:eastAsia="Arial" w:hAnsi="Arial"/>
                  <w:color w:val="1155cc"/>
                  <w:sz w:val="18"/>
                  <w:szCs w:val="18"/>
                  <w:u w:val="single"/>
                  <w:rtl w:val="0"/>
                </w:rPr>
                <w:t xml:space="preserve">Camellia</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Portugal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6,925</w:t>
            </w:r>
          </w:p>
        </w:tc>
      </w:tr>
      <w:tr>
        <w:trPr>
          <w:cantSplit w:val="0"/>
          <w:trHeight w:val="2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after="0" w:lineRule="auto"/>
              <w:rPr>
                <w:rFonts w:ascii="Arial" w:cs="Arial" w:eastAsia="Arial" w:hAnsi="Arial"/>
                <w:color w:val="1155cc"/>
                <w:sz w:val="18"/>
                <w:szCs w:val="18"/>
                <w:u w:val="single"/>
              </w:rPr>
            </w:pPr>
            <w:hyperlink r:id="rId15">
              <w:r w:rsidDel="00000000" w:rsidR="00000000" w:rsidRPr="00000000">
                <w:rPr>
                  <w:rFonts w:ascii="Arial" w:cs="Arial" w:eastAsia="Arial" w:hAnsi="Arial"/>
                  <w:color w:val="1155cc"/>
                  <w:sz w:val="18"/>
                  <w:szCs w:val="18"/>
                  <w:u w:val="single"/>
                  <w:rtl w:val="0"/>
                </w:rPr>
                <w:t xml:space="preserve">Pear Tree in the Middle of a Field</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Czech Republic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6,257</w:t>
            </w:r>
          </w:p>
        </w:tc>
      </w:tr>
      <w:tr>
        <w:trPr>
          <w:cantSplit w:val="0"/>
          <w:trHeight w:val="2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0" w:lineRule="auto"/>
              <w:rPr>
                <w:rFonts w:ascii="Arial" w:cs="Arial" w:eastAsia="Arial" w:hAnsi="Arial"/>
                <w:color w:val="1155cc"/>
                <w:sz w:val="18"/>
                <w:szCs w:val="18"/>
                <w:u w:val="single"/>
              </w:rPr>
            </w:pPr>
            <w:hyperlink r:id="rId16">
              <w:r w:rsidDel="00000000" w:rsidR="00000000" w:rsidRPr="00000000">
                <w:rPr>
                  <w:rFonts w:ascii="Arial" w:cs="Arial" w:eastAsia="Arial" w:hAnsi="Arial"/>
                  <w:color w:val="1155cc"/>
                  <w:sz w:val="18"/>
                  <w:szCs w:val="18"/>
                  <w:u w:val="single"/>
                  <w:rtl w:val="0"/>
                </w:rPr>
                <w:t xml:space="preserve">The Maria Lime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Netherlands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5,934</w:t>
            </w:r>
          </w:p>
        </w:tc>
      </w:tr>
      <w:tr>
        <w:trPr>
          <w:cantSplit w:val="0"/>
          <w:trHeight w:val="2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0" w:lineRule="auto"/>
              <w:rPr>
                <w:rFonts w:ascii="Arial" w:cs="Arial" w:eastAsia="Arial" w:hAnsi="Arial"/>
                <w:color w:val="1155cc"/>
                <w:sz w:val="18"/>
                <w:szCs w:val="18"/>
                <w:u w:val="single"/>
              </w:rPr>
            </w:pPr>
            <w:hyperlink r:id="rId17">
              <w:r w:rsidDel="00000000" w:rsidR="00000000" w:rsidRPr="00000000">
                <w:rPr>
                  <w:rFonts w:ascii="Arial" w:cs="Arial" w:eastAsia="Arial" w:hAnsi="Arial"/>
                  <w:color w:val="1155cc"/>
                  <w:sz w:val="18"/>
                  <w:szCs w:val="18"/>
                  <w:u w:val="single"/>
                  <w:rtl w:val="0"/>
                </w:rPr>
                <w:t xml:space="preserve">The Spanish Oak of La Vega</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Spain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5,564</w:t>
            </w:r>
          </w:p>
        </w:tc>
      </w:tr>
      <w:tr>
        <w:trPr>
          <w:cantSplit w:val="0"/>
          <w:trHeight w:val="24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after="0" w:lineRule="auto"/>
              <w:rPr>
                <w:rFonts w:ascii="Arial" w:cs="Arial" w:eastAsia="Arial" w:hAnsi="Arial"/>
                <w:color w:val="1155cc"/>
                <w:sz w:val="18"/>
                <w:szCs w:val="18"/>
                <w:u w:val="single"/>
              </w:rPr>
            </w:pPr>
            <w:hyperlink r:id="rId18">
              <w:r w:rsidDel="00000000" w:rsidR="00000000" w:rsidRPr="00000000">
                <w:rPr>
                  <w:rFonts w:ascii="Arial" w:cs="Arial" w:eastAsia="Arial" w:hAnsi="Arial"/>
                  <w:color w:val="1155cc"/>
                  <w:sz w:val="18"/>
                  <w:szCs w:val="18"/>
                  <w:u w:val="single"/>
                  <w:rtl w:val="0"/>
                </w:rPr>
                <w:t xml:space="preserve">The Millennium Oak</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Ukraine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4,908</w:t>
            </w:r>
          </w:p>
        </w:tc>
      </w:tr>
      <w:tr>
        <w:trPr>
          <w:cantSplit w:val="0"/>
          <w:trHeight w:val="2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240" w:lineRule="auto"/>
              <w:rPr>
                <w:rFonts w:ascii="Arial" w:cs="Arial" w:eastAsia="Arial" w:hAnsi="Arial"/>
                <w:color w:val="1155cc"/>
                <w:sz w:val="18"/>
                <w:szCs w:val="18"/>
                <w:u w:val="single"/>
              </w:rPr>
            </w:pPr>
            <w:hyperlink r:id="rId19">
              <w:r w:rsidDel="00000000" w:rsidR="00000000" w:rsidRPr="00000000">
                <w:rPr>
                  <w:rFonts w:ascii="Arial" w:cs="Arial" w:eastAsia="Arial" w:hAnsi="Arial"/>
                  <w:color w:val="1155cc"/>
                  <w:sz w:val="18"/>
                  <w:szCs w:val="18"/>
                  <w:u w:val="single"/>
                  <w:rtl w:val="0"/>
                </w:rPr>
                <w:t xml:space="preserve">Kaņepju Oak</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Latvia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4,470</w:t>
            </w:r>
          </w:p>
        </w:tc>
      </w:tr>
      <w:tr>
        <w:trPr>
          <w:cantSplit w:val="0"/>
          <w:trHeight w:val="2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Rule="auto"/>
              <w:rPr>
                <w:rFonts w:ascii="Arial" w:cs="Arial" w:eastAsia="Arial" w:hAnsi="Arial"/>
                <w:color w:val="1155cc"/>
                <w:sz w:val="18"/>
                <w:szCs w:val="18"/>
                <w:u w:val="single"/>
              </w:rPr>
            </w:pPr>
            <w:hyperlink r:id="rId20">
              <w:r w:rsidDel="00000000" w:rsidR="00000000" w:rsidRPr="00000000">
                <w:rPr>
                  <w:rFonts w:ascii="Arial" w:cs="Arial" w:eastAsia="Arial" w:hAnsi="Arial"/>
                  <w:color w:val="1155cc"/>
                  <w:sz w:val="18"/>
                  <w:szCs w:val="18"/>
                  <w:u w:val="single"/>
                  <w:rtl w:val="0"/>
                </w:rPr>
                <w:t xml:space="preserve">Wrexham's Acton Park Sweet Chestnut</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United Kingdom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4,085</w:t>
            </w:r>
          </w:p>
        </w:tc>
      </w:tr>
      <w:tr>
        <w:trPr>
          <w:cantSplit w:val="0"/>
          <w:trHeight w:val="2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0" w:lineRule="auto"/>
              <w:rPr>
                <w:rFonts w:ascii="Arial" w:cs="Arial" w:eastAsia="Arial" w:hAnsi="Arial"/>
                <w:color w:val="1155cc"/>
                <w:sz w:val="18"/>
                <w:szCs w:val="18"/>
                <w:u w:val="single"/>
              </w:rPr>
            </w:pPr>
            <w:hyperlink r:id="rId21">
              <w:r w:rsidDel="00000000" w:rsidR="00000000" w:rsidRPr="00000000">
                <w:rPr>
                  <w:rFonts w:ascii="Arial" w:cs="Arial" w:eastAsia="Arial" w:hAnsi="Arial"/>
                  <w:color w:val="1155cc"/>
                  <w:sz w:val="18"/>
                  <w:szCs w:val="18"/>
                  <w:u w:val="single"/>
                  <w:rtl w:val="0"/>
                </w:rPr>
                <w:t xml:space="preserve">The Green Lady of the Krka National Park</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Croatia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3,778</w:t>
            </w:r>
          </w:p>
        </w:tc>
      </w:tr>
      <w:tr>
        <w:trPr>
          <w:cantSplit w:val="0"/>
          <w:trHeight w:val="24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Rule="auto"/>
              <w:rPr>
                <w:rFonts w:ascii="Arial" w:cs="Arial" w:eastAsia="Arial" w:hAnsi="Arial"/>
                <w:color w:val="1155cc"/>
                <w:sz w:val="18"/>
                <w:szCs w:val="18"/>
                <w:u w:val="single"/>
              </w:rPr>
            </w:pPr>
            <w:hyperlink r:id="rId22">
              <w:r w:rsidDel="00000000" w:rsidR="00000000" w:rsidRPr="00000000">
                <w:rPr>
                  <w:rFonts w:ascii="Arial" w:cs="Arial" w:eastAsia="Arial" w:hAnsi="Arial"/>
                  <w:color w:val="1155cc"/>
                  <w:sz w:val="18"/>
                  <w:szCs w:val="18"/>
                  <w:u w:val="single"/>
                  <w:rtl w:val="0"/>
                </w:rPr>
                <w:t xml:space="preserve">The Viiralt's Oak</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Estonia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3,262</w:t>
            </w:r>
          </w:p>
        </w:tc>
      </w:tr>
      <w:tr>
        <w:trPr>
          <w:cantSplit w:val="0"/>
          <w:trHeight w:val="2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Rule="auto"/>
              <w:rPr>
                <w:rFonts w:ascii="Arial" w:cs="Arial" w:eastAsia="Arial" w:hAnsi="Arial"/>
                <w:color w:val="1155cc"/>
                <w:sz w:val="18"/>
                <w:szCs w:val="18"/>
                <w:u w:val="single"/>
              </w:rPr>
            </w:pPr>
            <w:hyperlink r:id="rId23">
              <w:r w:rsidDel="00000000" w:rsidR="00000000" w:rsidRPr="00000000">
                <w:rPr>
                  <w:rFonts w:ascii="Arial" w:cs="Arial" w:eastAsia="Arial" w:hAnsi="Arial"/>
                  <w:color w:val="1155cc"/>
                  <w:sz w:val="18"/>
                  <w:szCs w:val="18"/>
                  <w:u w:val="single"/>
                  <w:rtl w:val="0"/>
                </w:rPr>
                <w:t xml:space="preserve">The Cedar of the Sainte-Marie college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Belgium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2,851</w:t>
            </w:r>
          </w:p>
        </w:tc>
      </w:tr>
      <w:tr>
        <w:trPr>
          <w:cantSplit w:val="0"/>
          <w:trHeight w:val="2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Rule="auto"/>
              <w:rPr>
                <w:rFonts w:ascii="Arial" w:cs="Arial" w:eastAsia="Arial" w:hAnsi="Arial"/>
                <w:color w:val="1155cc"/>
                <w:sz w:val="18"/>
                <w:szCs w:val="18"/>
                <w:u w:val="single"/>
              </w:rPr>
            </w:pPr>
            <w:hyperlink r:id="rId24">
              <w:r w:rsidDel="00000000" w:rsidR="00000000" w:rsidRPr="00000000">
                <w:rPr>
                  <w:rFonts w:ascii="Arial" w:cs="Arial" w:eastAsia="Arial" w:hAnsi="Arial"/>
                  <w:color w:val="1155cc"/>
                  <w:sz w:val="18"/>
                  <w:szCs w:val="18"/>
                  <w:u w:val="single"/>
                  <w:rtl w:val="0"/>
                </w:rPr>
                <w:t xml:space="preserve">An Oak That Remembers the Pálffy Family</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Slovakia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2,850</w:t>
            </w:r>
          </w:p>
        </w:tc>
      </w:tr>
      <w:tr>
        <w:trPr>
          <w:cantSplit w:val="0"/>
          <w:trHeight w:val="26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0" w:lineRule="auto"/>
              <w:rPr>
                <w:rFonts w:ascii="Arial" w:cs="Arial" w:eastAsia="Arial" w:hAnsi="Arial"/>
                <w:color w:val="1155cc"/>
                <w:sz w:val="18"/>
                <w:szCs w:val="18"/>
                <w:u w:val="single"/>
              </w:rPr>
            </w:pPr>
            <w:hyperlink r:id="rId25">
              <w:r w:rsidDel="00000000" w:rsidR="00000000" w:rsidRPr="00000000">
                <w:rPr>
                  <w:rFonts w:ascii="Arial" w:cs="Arial" w:eastAsia="Arial" w:hAnsi="Arial"/>
                  <w:color w:val="1155cc"/>
                  <w:sz w:val="18"/>
                  <w:szCs w:val="18"/>
                  <w:u w:val="single"/>
                  <w:rtl w:val="0"/>
                </w:rPr>
                <w:t xml:space="preserve">Lithuania’s Patriarch Tree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Lithuania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2,785</w:t>
            </w:r>
          </w:p>
        </w:tc>
      </w:tr>
      <w:tr>
        <w:trPr>
          <w:cantSplit w:val="0"/>
          <w:trHeight w:val="38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TOTAL NUMBER OF VOTES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after="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98,042</w:t>
            </w:r>
          </w:p>
        </w:tc>
      </w:tr>
    </w:tbl>
    <w:p w:rsidR="00000000" w:rsidDel="00000000" w:rsidP="00000000" w:rsidRDefault="00000000" w:rsidRPr="00000000" w14:paraId="00000058">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European Tree of the Year</w:t>
      </w:r>
      <w:r w:rsidDel="00000000" w:rsidR="00000000" w:rsidRPr="00000000">
        <w:rPr>
          <w:rFonts w:ascii="Arial" w:cs="Arial" w:eastAsia="Arial" w:hAnsi="Arial"/>
          <w:sz w:val="20"/>
          <w:szCs w:val="20"/>
          <w:rtl w:val="0"/>
        </w:rPr>
        <w:t xml:space="preserve"> is a contest that highlights the significance of trees in the natural and cultural heritage of Europe and the importance of the ecosystem services trees provide. The contest is not looking for the most beautiful tree, but for a tree with a story, a tree rooted in the lives and work of the people and the community that surrounds it.</w:t>
      </w:r>
    </w:p>
    <w:p w:rsidR="00000000" w:rsidDel="00000000" w:rsidP="00000000" w:rsidRDefault="00000000" w:rsidRPr="00000000" w14:paraId="0000005A">
      <w:pPr>
        <w:spacing w:after="0" w:lineRule="auto"/>
        <w:rPr>
          <w:rFonts w:ascii="Arial" w:cs="Arial" w:eastAsia="Arial" w:hAnsi="Arial"/>
          <w:sz w:val="20"/>
          <w:szCs w:val="20"/>
        </w:rPr>
      </w:pPr>
      <w:hyperlink r:id="rId26">
        <w:r w:rsidDel="00000000" w:rsidR="00000000" w:rsidRPr="00000000">
          <w:rPr>
            <w:rFonts w:ascii="Arial" w:cs="Arial" w:eastAsia="Arial" w:hAnsi="Arial"/>
            <w:b w:val="1"/>
            <w:color w:val="a8c73d"/>
            <w:sz w:val="20"/>
            <w:szCs w:val="20"/>
            <w:u w:val="single"/>
            <w:rtl w:val="0"/>
          </w:rPr>
          <w:t xml:space="preserve">www.treeoftheyear.org</w:t>
        </w:r>
      </w:hyperlink>
      <w:r w:rsidDel="00000000" w:rsidR="00000000" w:rsidRPr="00000000">
        <w:rPr>
          <w:rtl w:val="0"/>
        </w:rPr>
      </w:r>
    </w:p>
    <w:p w:rsidR="00000000" w:rsidDel="00000000" w:rsidP="00000000" w:rsidRDefault="00000000" w:rsidRPr="00000000" w14:paraId="0000005B">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Environmental Partnership Association</w:t>
      </w:r>
      <w:r w:rsidDel="00000000" w:rsidR="00000000" w:rsidRPr="00000000">
        <w:rPr>
          <w:rFonts w:ascii="Arial" w:cs="Arial" w:eastAsia="Arial" w:hAnsi="Arial"/>
          <w:sz w:val="20"/>
          <w:szCs w:val="20"/>
          <w:rtl w:val="0"/>
        </w:rPr>
        <w:t xml:space="preserve"> (EPA) is a leading environmental organisation established for almost 30 years in Central and Eastern Europe. With a team of 80 employees, the EPA operates in 6 countries via its 6-member foundations in Bulgaria, the Czech Republic, Hungary, Poland, Romania and Slovakia. The EPA boasts 30-years of experience in project coordination and carrying out activities oriented to changing people’s mind-sets in order to protect and improve the environment. </w:t>
      </w:r>
    </w:p>
    <w:p w:rsidR="00000000" w:rsidDel="00000000" w:rsidP="00000000" w:rsidRDefault="00000000" w:rsidRPr="00000000" w14:paraId="0000005D">
      <w:pPr>
        <w:spacing w:after="0" w:lineRule="auto"/>
        <w:rPr>
          <w:rFonts w:ascii="Arial" w:cs="Arial" w:eastAsia="Arial" w:hAnsi="Arial"/>
          <w:b w:val="1"/>
          <w:color w:val="a8c73d"/>
          <w:sz w:val="20"/>
          <w:szCs w:val="20"/>
          <w:u w:val="single"/>
        </w:rPr>
      </w:pPr>
      <w:hyperlink r:id="rId27">
        <w:r w:rsidDel="00000000" w:rsidR="00000000" w:rsidRPr="00000000">
          <w:rPr>
            <w:rFonts w:ascii="Arial" w:cs="Arial" w:eastAsia="Arial" w:hAnsi="Arial"/>
            <w:b w:val="1"/>
            <w:color w:val="0000ff"/>
            <w:sz w:val="20"/>
            <w:szCs w:val="20"/>
            <w:u w:val="single"/>
            <w:rtl w:val="0"/>
          </w:rPr>
          <w:t xml:space="preserve">www.environmentalpartnership.org</w:t>
        </w:r>
      </w:hyperlink>
      <w:r w:rsidDel="00000000" w:rsidR="00000000" w:rsidRPr="00000000">
        <w:rPr>
          <w:rtl w:val="0"/>
        </w:rPr>
      </w:r>
    </w:p>
    <w:p w:rsidR="00000000" w:rsidDel="00000000" w:rsidP="00000000" w:rsidRDefault="00000000" w:rsidRPr="00000000" w14:paraId="0000005E">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European Landowners' Organisation</w:t>
      </w:r>
      <w:r w:rsidDel="00000000" w:rsidR="00000000" w:rsidRPr="00000000">
        <w:rPr>
          <w:rFonts w:ascii="Arial" w:cs="Arial" w:eastAsia="Arial" w:hAnsi="Arial"/>
          <w:sz w:val="20"/>
          <w:szCs w:val="20"/>
          <w:rtl w:val="0"/>
        </w:rPr>
        <w:t xml:space="preserve"> (ELO), created in 1972, is a unique federation of national associations from the 27 EU Member States and beyond, which represents the interests of landowners, land managers and rural entrepreneurs at the European political level. Independent and non-profit making, the ELO is the only organisation able to stand for all rural entrepreneurs. The ELO promotes a prosperous countryside through private property dynamism. Its Secretariat is based in Brussels</w:t>
      </w:r>
    </w:p>
    <w:p w:rsidR="00000000" w:rsidDel="00000000" w:rsidP="00000000" w:rsidRDefault="00000000" w:rsidRPr="00000000" w14:paraId="00000060">
      <w:pPr>
        <w:spacing w:after="0" w:lineRule="auto"/>
        <w:rPr>
          <w:rFonts w:ascii="Arial" w:cs="Arial" w:eastAsia="Arial" w:hAnsi="Arial"/>
          <w:b w:val="1"/>
          <w:color w:val="a8c73d"/>
          <w:sz w:val="20"/>
          <w:szCs w:val="20"/>
          <w:u w:val="single"/>
        </w:rPr>
      </w:pPr>
      <w:r w:rsidDel="00000000" w:rsidR="00000000" w:rsidRPr="00000000">
        <w:rPr>
          <w:rFonts w:ascii="Arial" w:cs="Arial" w:eastAsia="Arial" w:hAnsi="Arial"/>
          <w:b w:val="1"/>
          <w:color w:val="a8c73d"/>
          <w:sz w:val="20"/>
          <w:szCs w:val="20"/>
          <w:u w:val="single"/>
          <w:rtl w:val="0"/>
        </w:rPr>
        <w:t xml:space="preserve">www.europeanlandowners.org</w:t>
      </w:r>
    </w:p>
    <w:p w:rsidR="00000000" w:rsidDel="00000000" w:rsidP="00000000" w:rsidRDefault="00000000" w:rsidRPr="00000000" w14:paraId="00000061">
      <w:pPr>
        <w:spacing w:after="0" w:lineRule="auto"/>
        <w:rPr>
          <w:rFonts w:ascii="Arial" w:cs="Arial" w:eastAsia="Arial" w:hAnsi="Arial"/>
          <w:b w:val="1"/>
          <w:color w:val="a8c73d"/>
          <w:sz w:val="20"/>
          <w:szCs w:val="20"/>
          <w:u w:val="single"/>
        </w:rPr>
      </w:pPr>
      <w:r w:rsidDel="00000000" w:rsidR="00000000" w:rsidRPr="00000000">
        <w:rPr>
          <w:rtl w:val="0"/>
        </w:rPr>
      </w:r>
    </w:p>
    <w:p w:rsidR="00000000" w:rsidDel="00000000" w:rsidP="00000000" w:rsidRDefault="00000000" w:rsidRPr="00000000" w14:paraId="00000062">
      <w:pPr>
        <w:spacing w:after="0" w:lineRule="auto"/>
        <w:rPr>
          <w:rFonts w:ascii="Arial" w:cs="Arial" w:eastAsia="Arial" w:hAnsi="Arial"/>
          <w:color w:val="008000"/>
          <w:sz w:val="20"/>
          <w:szCs w:val="20"/>
        </w:rPr>
      </w:pP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64">
      <w:pPr>
        <w:spacing w:after="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65">
      <w:pPr>
        <w:spacing w:after="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66">
      <w:pPr>
        <w:spacing w:after="0" w:lineRule="auto"/>
        <w:rPr>
          <w:rFonts w:ascii="Arial" w:cs="Arial" w:eastAsia="Arial" w:hAnsi="Arial"/>
          <w:b w:val="1"/>
          <w:color w:val="a8c73d"/>
          <w:sz w:val="24"/>
          <w:szCs w:val="24"/>
        </w:rPr>
      </w:pPr>
      <w:r w:rsidDel="00000000" w:rsidR="00000000" w:rsidRPr="00000000">
        <w:rPr>
          <w:rFonts w:ascii="Arial" w:cs="Arial" w:eastAsia="Arial" w:hAnsi="Arial"/>
          <w:b w:val="1"/>
          <w:color w:val="a8c73d"/>
          <w:sz w:val="24"/>
          <w:szCs w:val="24"/>
          <w:rtl w:val="0"/>
        </w:rPr>
        <w:t xml:space="preserve">THE CONTEST IS ORGANISED BY:</w:t>
        <w:tab/>
        <w:tab/>
        <w:tab/>
        <w:tab/>
        <w:tab/>
        <w:t xml:space="preserve">SUPPORT:</w:t>
      </w:r>
    </w:p>
    <w:p w:rsidR="00000000" w:rsidDel="00000000" w:rsidP="00000000" w:rsidRDefault="00000000" w:rsidRPr="00000000" w14:paraId="00000067">
      <w:pPr>
        <w:spacing w:after="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68">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t xml:space="preserve">           </w:t>
        <w:tab/>
      </w:r>
      <w:r w:rsidDel="00000000" w:rsidR="00000000" w:rsidRPr="00000000">
        <w:rPr>
          <w:rFonts w:ascii="Arial" w:cs="Arial" w:eastAsia="Arial" w:hAnsi="Arial"/>
          <w:b w:val="1"/>
          <w:sz w:val="20"/>
          <w:szCs w:val="20"/>
        </w:rPr>
        <w:drawing>
          <wp:inline distB="114300" distT="114300" distL="114300" distR="114300">
            <wp:extent cx="970597" cy="610090"/>
            <wp:effectExtent b="0" l="0" r="0" t="0"/>
            <wp:docPr id="32" name="image1.jpg"/>
            <a:graphic>
              <a:graphicData uri="http://schemas.openxmlformats.org/drawingml/2006/picture">
                <pic:pic>
                  <pic:nvPicPr>
                    <pic:cNvPr id="0" name="image1.jpg"/>
                    <pic:cNvPicPr preferRelativeResize="0"/>
                  </pic:nvPicPr>
                  <pic:blipFill>
                    <a:blip r:embed="rId28"/>
                    <a:srcRect b="0" l="0" r="0" t="0"/>
                    <a:stretch>
                      <a:fillRect/>
                    </a:stretch>
                  </pic:blipFill>
                  <pic:spPr>
                    <a:xfrm>
                      <a:off x="0" y="0"/>
                      <a:ext cx="970597" cy="61009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190500</wp:posOffset>
            </wp:positionH>
            <wp:positionV relativeFrom="paragraph">
              <wp:posOffset>19050</wp:posOffset>
            </wp:positionV>
            <wp:extent cx="1662723" cy="438150"/>
            <wp:effectExtent b="0" l="0" r="0" t="0"/>
            <wp:wrapSquare wrapText="bothSides" distB="0" distT="0" distL="114300" distR="114300"/>
            <wp:docPr id="40" name="image6.jpg"/>
            <a:graphic>
              <a:graphicData uri="http://schemas.openxmlformats.org/drawingml/2006/picture">
                <pic:pic>
                  <pic:nvPicPr>
                    <pic:cNvPr id="0" name="image6.jpg"/>
                    <pic:cNvPicPr preferRelativeResize="0"/>
                  </pic:nvPicPr>
                  <pic:blipFill>
                    <a:blip r:embed="rId29"/>
                    <a:srcRect b="0" l="0" r="0" t="0"/>
                    <a:stretch>
                      <a:fillRect/>
                    </a:stretch>
                  </pic:blipFill>
                  <pic:spPr>
                    <a:xfrm>
                      <a:off x="0" y="0"/>
                      <a:ext cx="1662723" cy="438150"/>
                    </a:xfrm>
                    <a:prstGeom prst="rect"/>
                    <a:ln/>
                  </pic:spPr>
                </pic:pic>
              </a:graphicData>
            </a:graphic>
          </wp:anchor>
        </w:drawing>
      </w:r>
    </w:p>
    <w:p w:rsidR="00000000" w:rsidDel="00000000" w:rsidP="00000000" w:rsidRDefault="00000000" w:rsidRPr="00000000" w14:paraId="00000069">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ab/>
      </w:r>
    </w:p>
    <w:p w:rsidR="00000000" w:rsidDel="00000000" w:rsidP="00000000" w:rsidRDefault="00000000" w:rsidRPr="00000000" w14:paraId="0000006A">
      <w:pPr>
        <w:spacing w:after="0" w:lineRule="auto"/>
        <w:rPr>
          <w:rFonts w:ascii="Arial" w:cs="Arial" w:eastAsia="Arial" w:hAnsi="Arial"/>
          <w:b w:val="1"/>
          <w:color w:val="a8c73d"/>
          <w:sz w:val="24"/>
          <w:szCs w:val="24"/>
        </w:rPr>
      </w:pPr>
      <w:r w:rsidDel="00000000" w:rsidR="00000000" w:rsidRPr="00000000">
        <w:rPr>
          <w:rFonts w:ascii="Arial" w:cs="Arial" w:eastAsia="Arial" w:hAnsi="Arial"/>
          <w:b w:val="1"/>
          <w:color w:val="a8c73d"/>
          <w:sz w:val="24"/>
          <w:szCs w:val="24"/>
          <w:rtl w:val="0"/>
        </w:rPr>
        <w:t xml:space="preserve">PARTNERS OF THE CONTEST:</w:t>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268207</wp:posOffset>
            </wp:positionV>
            <wp:extent cx="1638300" cy="609600"/>
            <wp:effectExtent b="0" l="0" r="0" t="0"/>
            <wp:wrapNone/>
            <wp:docPr id="39" name="image4.gif"/>
            <a:graphic>
              <a:graphicData uri="http://schemas.openxmlformats.org/drawingml/2006/picture">
                <pic:pic>
                  <pic:nvPicPr>
                    <pic:cNvPr id="0" name="image4.gif"/>
                    <pic:cNvPicPr preferRelativeResize="0"/>
                  </pic:nvPicPr>
                  <pic:blipFill>
                    <a:blip r:embed="rId30"/>
                    <a:srcRect b="0" l="0" r="0" t="0"/>
                    <a:stretch>
                      <a:fillRect/>
                    </a:stretch>
                  </pic:blipFill>
                  <pic:spPr>
                    <a:xfrm>
                      <a:off x="0" y="0"/>
                      <a:ext cx="1638300" cy="609600"/>
                    </a:xfrm>
                    <a:prstGeom prst="rect"/>
                    <a:ln/>
                  </pic:spPr>
                </pic:pic>
              </a:graphicData>
            </a:graphic>
          </wp:anchor>
        </w:drawing>
      </w:r>
    </w:p>
    <w:p w:rsidR="00000000" w:rsidDel="00000000" w:rsidP="00000000" w:rsidRDefault="00000000" w:rsidRPr="00000000" w14:paraId="0000006B">
      <w:pPr>
        <w:spacing w:after="0" w:lineRule="auto"/>
        <w:rPr>
          <w:rFonts w:ascii="Arial" w:cs="Arial" w:eastAsia="Arial" w:hAnsi="Arial"/>
          <w:b w:val="1"/>
          <w:color w:val="a8c73d"/>
          <w:sz w:val="24"/>
          <w:szCs w:val="24"/>
        </w:rPr>
      </w:pPr>
      <w:r w:rsidDel="00000000" w:rsidR="00000000" w:rsidRPr="00000000">
        <w:rPr>
          <w:rFonts w:ascii="Arial" w:cs="Arial" w:eastAsia="Arial" w:hAnsi="Arial"/>
          <w:b w:val="1"/>
          <w:color w:val="a8c73d"/>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1866900</wp:posOffset>
            </wp:positionH>
            <wp:positionV relativeFrom="paragraph">
              <wp:posOffset>274718</wp:posOffset>
            </wp:positionV>
            <wp:extent cx="1762125" cy="190500"/>
            <wp:effectExtent b="0" l="0" r="0" t="0"/>
            <wp:wrapNone/>
            <wp:docPr id="37" name="image8.png"/>
            <a:graphic>
              <a:graphicData uri="http://schemas.openxmlformats.org/drawingml/2006/picture">
                <pic:pic>
                  <pic:nvPicPr>
                    <pic:cNvPr id="0" name="image8.png"/>
                    <pic:cNvPicPr preferRelativeResize="0"/>
                  </pic:nvPicPr>
                  <pic:blipFill>
                    <a:blip r:embed="rId31"/>
                    <a:srcRect b="0" l="0" r="0" t="0"/>
                    <a:stretch>
                      <a:fillRect/>
                    </a:stretch>
                  </pic:blipFill>
                  <pic:spPr>
                    <a:xfrm>
                      <a:off x="0" y="0"/>
                      <a:ext cx="1762125" cy="1905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3857625</wp:posOffset>
            </wp:positionH>
            <wp:positionV relativeFrom="paragraph">
              <wp:posOffset>150893</wp:posOffset>
            </wp:positionV>
            <wp:extent cx="884034" cy="438580"/>
            <wp:effectExtent b="0" l="0" r="0" t="0"/>
            <wp:wrapNone/>
            <wp:docPr id="36" name="image2.jpg"/>
            <a:graphic>
              <a:graphicData uri="http://schemas.openxmlformats.org/drawingml/2006/picture">
                <pic:pic>
                  <pic:nvPicPr>
                    <pic:cNvPr id="0" name="image2.jpg"/>
                    <pic:cNvPicPr preferRelativeResize="0"/>
                  </pic:nvPicPr>
                  <pic:blipFill>
                    <a:blip r:embed="rId32"/>
                    <a:srcRect b="0" l="0" r="0" t="0"/>
                    <a:stretch>
                      <a:fillRect/>
                    </a:stretch>
                  </pic:blipFill>
                  <pic:spPr>
                    <a:xfrm>
                      <a:off x="0" y="0"/>
                      <a:ext cx="884034" cy="438580"/>
                    </a:xfrm>
                    <a:prstGeom prst="rect"/>
                    <a:ln/>
                  </pic:spPr>
                </pic:pic>
              </a:graphicData>
            </a:graphic>
          </wp:anchor>
        </w:drawing>
      </w:r>
    </w:p>
    <w:p w:rsidR="00000000" w:rsidDel="00000000" w:rsidP="00000000" w:rsidRDefault="00000000" w:rsidRPr="00000000" w14:paraId="0000006C">
      <w:pPr>
        <w:spacing w:after="0" w:lineRule="auto"/>
        <w:rPr>
          <w:rFonts w:ascii="Arial" w:cs="Arial" w:eastAsia="Arial" w:hAnsi="Arial"/>
          <w:b w:val="1"/>
          <w:sz w:val="20"/>
          <w:szCs w:val="20"/>
          <w:highlight w:val="yellow"/>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4838700</wp:posOffset>
            </wp:positionH>
            <wp:positionV relativeFrom="paragraph">
              <wp:posOffset>120318</wp:posOffset>
            </wp:positionV>
            <wp:extent cx="1452563" cy="190500"/>
            <wp:effectExtent b="0" l="0" r="0" t="0"/>
            <wp:wrapNone/>
            <wp:docPr id="38" name="image3.png"/>
            <a:graphic>
              <a:graphicData uri="http://schemas.openxmlformats.org/drawingml/2006/picture">
                <pic:pic>
                  <pic:nvPicPr>
                    <pic:cNvPr id="0" name="image3.png"/>
                    <pic:cNvPicPr preferRelativeResize="0"/>
                  </pic:nvPicPr>
                  <pic:blipFill>
                    <a:blip r:embed="rId33"/>
                    <a:srcRect b="0" l="0" r="0" t="0"/>
                    <a:stretch>
                      <a:fillRect/>
                    </a:stretch>
                  </pic:blipFill>
                  <pic:spPr>
                    <a:xfrm>
                      <a:off x="0" y="0"/>
                      <a:ext cx="1452563" cy="190500"/>
                    </a:xfrm>
                    <a:prstGeom prst="rect"/>
                    <a:ln/>
                  </pic:spPr>
                </pic:pic>
              </a:graphicData>
            </a:graphic>
          </wp:anchor>
        </w:drawing>
      </w:r>
    </w:p>
    <w:p w:rsidR="00000000" w:rsidDel="00000000" w:rsidP="00000000" w:rsidRDefault="00000000" w:rsidRPr="00000000" w14:paraId="0000006D">
      <w:pPr>
        <w:spacing w:after="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6E">
      <w:pPr>
        <w:spacing w:after="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6F">
      <w:pPr>
        <w:spacing w:after="0" w:lineRule="auto"/>
        <w:rPr>
          <w:rFonts w:ascii="Arial" w:cs="Arial" w:eastAsia="Arial" w:hAnsi="Arial"/>
          <w:sz w:val="20"/>
          <w:szCs w:val="20"/>
        </w:rPr>
      </w:pPr>
      <w:r w:rsidDel="00000000" w:rsidR="00000000" w:rsidRPr="00000000">
        <w:rPr>
          <w:rFonts w:ascii="Arial" w:cs="Arial" w:eastAsia="Arial" w:hAnsi="Arial"/>
          <w:b w:val="1"/>
          <w:color w:val="a8c73d"/>
          <w:sz w:val="24"/>
          <w:szCs w:val="24"/>
          <w:rtl w:val="0"/>
        </w:rPr>
        <w:t xml:space="preserve">NATIONAL CONTEST ORGANISERS:</w:t>
      </w:r>
      <w:r w:rsidDel="00000000" w:rsidR="00000000" w:rsidRPr="00000000">
        <w:rPr>
          <w:rtl w:val="0"/>
        </w:rPr>
      </w:r>
    </w:p>
    <w:p w:rsidR="00000000" w:rsidDel="00000000" w:rsidP="00000000" w:rsidRDefault="00000000" w:rsidRPr="00000000" w14:paraId="00000070">
      <w:pPr>
        <w:spacing w:after="0" w:lineRule="auto"/>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6378516" cy="3030036"/>
            <wp:effectExtent b="0" l="0" r="0" t="0"/>
            <wp:docPr id="35" name="image5.png"/>
            <a:graphic>
              <a:graphicData uri="http://schemas.openxmlformats.org/drawingml/2006/picture">
                <pic:pic>
                  <pic:nvPicPr>
                    <pic:cNvPr id="0" name="image5.png"/>
                    <pic:cNvPicPr preferRelativeResize="0"/>
                  </pic:nvPicPr>
                  <pic:blipFill>
                    <a:blip r:embed="rId34"/>
                    <a:srcRect b="0" l="0" r="0" t="0"/>
                    <a:stretch>
                      <a:fillRect/>
                    </a:stretch>
                  </pic:blipFill>
                  <pic:spPr>
                    <a:xfrm>
                      <a:off x="0" y="0"/>
                      <a:ext cx="6378516" cy="3030036"/>
                    </a:xfrm>
                    <a:prstGeom prst="rect"/>
                    <a:ln/>
                  </pic:spPr>
                </pic:pic>
              </a:graphicData>
            </a:graphic>
          </wp:inline>
        </w:drawing>
      </w:r>
      <w:r w:rsidDel="00000000" w:rsidR="00000000" w:rsidRPr="00000000">
        <w:rPr>
          <w:rtl w:val="0"/>
        </w:rPr>
      </w:r>
    </w:p>
    <w:sectPr>
      <w:headerReference r:id="rId35" w:type="default"/>
      <w:footerReference r:id="rId36" w:type="default"/>
      <w:pgSz w:h="16840" w:w="11900" w:orient="portrait"/>
      <w:pgMar w:bottom="440" w:top="1807" w:left="1134" w:right="1134" w:header="709" w:footer="12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10160000</wp:posOffset>
              </wp:positionV>
              <wp:extent cx="7016750" cy="313588"/>
              <wp:effectExtent b="0" l="0" r="0" t="0"/>
              <wp:wrapSquare wrapText="bothSides" distB="0" distT="0" distL="114300" distR="114300"/>
              <wp:docPr id="30" name=""/>
              <a:graphic>
                <a:graphicData uri="http://schemas.microsoft.com/office/word/2010/wordprocessingGroup">
                  <wpg:wgp>
                    <wpg:cNvGrpSpPr/>
                    <wpg:grpSpPr>
                      <a:xfrm>
                        <a:off x="1837625" y="3623200"/>
                        <a:ext cx="7016750" cy="313588"/>
                        <a:chOff x="1837625" y="3623200"/>
                        <a:chExt cx="7016750" cy="313600"/>
                      </a:xfrm>
                    </wpg:grpSpPr>
                    <wpg:grpSp>
                      <wpg:cNvGrpSpPr/>
                      <wpg:grpSpPr>
                        <a:xfrm>
                          <a:off x="1837625" y="3623206"/>
                          <a:ext cx="7016750" cy="313588"/>
                          <a:chOff x="1837625" y="3623200"/>
                          <a:chExt cx="7016750" cy="313600"/>
                        </a:xfrm>
                      </wpg:grpSpPr>
                      <wps:wsp>
                        <wps:cNvSpPr/>
                        <wps:cNvPr id="3" name="Shape 3"/>
                        <wps:spPr>
                          <a:xfrm>
                            <a:off x="1837625" y="3623200"/>
                            <a:ext cx="7016750" cy="31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37625" y="3623206"/>
                            <a:ext cx="7016750" cy="313588"/>
                            <a:chOff x="1837625" y="3623150"/>
                            <a:chExt cx="7016750" cy="313650"/>
                          </a:xfrm>
                        </wpg:grpSpPr>
                        <wps:wsp>
                          <wps:cNvSpPr/>
                          <wps:cNvPr id="5" name="Shape 5"/>
                          <wps:spPr>
                            <a:xfrm>
                              <a:off x="1837625" y="3623150"/>
                              <a:ext cx="7016750" cy="313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37625" y="3623206"/>
                              <a:ext cx="7016750" cy="313588"/>
                              <a:chOff x="1837625" y="3618425"/>
                              <a:chExt cx="7016750" cy="318375"/>
                            </a:xfrm>
                          </wpg:grpSpPr>
                          <wps:wsp>
                            <wps:cNvSpPr/>
                            <wps:cNvPr id="7" name="Shape 7"/>
                            <wps:spPr>
                              <a:xfrm>
                                <a:off x="1837625" y="3618425"/>
                                <a:ext cx="7016750" cy="318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37625" y="3623206"/>
                                <a:ext cx="7016750" cy="313588"/>
                                <a:chOff x="1837625" y="3623206"/>
                                <a:chExt cx="7016750" cy="313588"/>
                              </a:xfrm>
                            </wpg:grpSpPr>
                            <wps:wsp>
                              <wps:cNvSpPr/>
                              <wps:cNvPr id="9" name="Shape 9"/>
                              <wps:spPr>
                                <a:xfrm>
                                  <a:off x="1837625" y="3623206"/>
                                  <a:ext cx="7016750" cy="31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37625" y="3623206"/>
                                  <a:ext cx="7016750" cy="313588"/>
                                  <a:chOff x="137160" y="1252728"/>
                                  <a:chExt cx="7016750" cy="313690"/>
                                </a:xfrm>
                              </wpg:grpSpPr>
                              <wps:wsp>
                                <wps:cNvSpPr/>
                                <wps:cNvPr id="11" name="Shape 11"/>
                                <wps:spPr>
                                  <a:xfrm>
                                    <a:off x="137160" y="1252728"/>
                                    <a:ext cx="7016750" cy="313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37160" y="1344168"/>
                                    <a:ext cx="7016750" cy="2222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8"/>
                                          <w:vertAlign w:val="baseline"/>
                                        </w:rPr>
                                        <w:t xml:space="preserve">Environmental Partnership Association</w:t>
                                      </w:r>
                                      <w:r w:rsidDel="00000000" w:rsidR="00000000" w:rsidRPr="00000000">
                                        <w:rPr>
                                          <w:rFonts w:ascii="Arial" w:cs="Arial" w:eastAsia="Arial" w:hAnsi="Arial"/>
                                          <w:b w:val="0"/>
                                          <w:i w:val="0"/>
                                          <w:smallCaps w:val="0"/>
                                          <w:strike w:val="0"/>
                                          <w:color w:val="000000"/>
                                          <w:sz w:val="18"/>
                                          <w:vertAlign w:val="baseline"/>
                                        </w:rPr>
                                        <w:t xml:space="preserve"> / (+32) 493 84 35 01 / </w:t>
                                      </w:r>
                                      <w:r w:rsidDel="00000000" w:rsidR="00000000" w:rsidRPr="00000000">
                                        <w:rPr>
                                          <w:rFonts w:ascii="Arial" w:cs="Arial" w:eastAsia="Arial" w:hAnsi="Arial"/>
                                          <w:b w:val="0"/>
                                          <w:i w:val="0"/>
                                          <w:smallCaps w:val="0"/>
                                          <w:strike w:val="0"/>
                                          <w:color w:val="0563c1"/>
                                          <w:sz w:val="18"/>
                                          <w:u w:val="single"/>
                                          <w:vertAlign w:val="baseline"/>
                                        </w:rPr>
                                        <w:t xml:space="preserve">josef.jary@nap.cz</w:t>
                                      </w:r>
                                      <w:r w:rsidDel="00000000" w:rsidR="00000000" w:rsidRPr="00000000">
                                        <w:rPr>
                                          <w:rFonts w:ascii="Arial" w:cs="Arial" w:eastAsia="Arial" w:hAnsi="Arial"/>
                                          <w:b w:val="0"/>
                                          <w:i w:val="0"/>
                                          <w:smallCaps w:val="0"/>
                                          <w:strike w:val="0"/>
                                          <w:color w:val="000000"/>
                                          <w:sz w:val="18"/>
                                          <w:vertAlign w:val="baseline"/>
                                        </w:rPr>
                                        <w:t xml:space="preserve"> / www.environmentalpartnership.org</w:t>
                                      </w:r>
                                    </w:p>
                                  </w:txbxContent>
                                </wps:txbx>
                                <wps:bodyPr anchorCtr="0" anchor="t" bIns="45700" lIns="91425" spcFirstLastPara="1" rIns="91425" wrap="square" tIns="45700">
                                  <a:noAutofit/>
                                </wps:bodyPr>
                              </wps:wsp>
                              <wps:wsp>
                                <wps:cNvCnPr/>
                                <wps:spPr>
                                  <a:xfrm>
                                    <a:off x="2359152" y="1252728"/>
                                    <a:ext cx="231838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10160000</wp:posOffset>
              </wp:positionV>
              <wp:extent cx="7016750" cy="313588"/>
              <wp:effectExtent b="0" l="0" r="0" t="0"/>
              <wp:wrapSquare wrapText="bothSides" distB="0" distT="0" distL="114300" distR="114300"/>
              <wp:docPr id="3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7016750" cy="313588"/>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36"/>
        <w:tab w:val="right" w:leader="none" w:pos="9072"/>
      </w:tabs>
      <w:spacing w:after="0" w:line="288" w:lineRule="auto"/>
      <w:jc w:val="right"/>
      <w:rPr>
        <w:rFonts w:ascii="Arial" w:cs="Arial" w:eastAsia="Arial" w:hAnsi="Arial"/>
        <w:color w:val="000000"/>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-226055</wp:posOffset>
          </wp:positionH>
          <wp:positionV relativeFrom="paragraph">
            <wp:posOffset>-121280</wp:posOffset>
          </wp:positionV>
          <wp:extent cx="1661795" cy="441325"/>
          <wp:effectExtent b="0" l="0" r="0" t="0"/>
          <wp:wrapSquare wrapText="bothSides" distB="0" distT="0" distL="114300" distR="114300"/>
          <wp:docPr id="34"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1661795" cy="441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4835525</wp:posOffset>
          </wp:positionH>
          <wp:positionV relativeFrom="paragraph">
            <wp:posOffset>-225419</wp:posOffset>
          </wp:positionV>
          <wp:extent cx="931545" cy="608965"/>
          <wp:effectExtent b="0" l="0" r="0" t="0"/>
          <wp:wrapSquare wrapText="bothSides" distB="0" distT="0" distL="114300" distR="114300"/>
          <wp:docPr descr="../../ETY2018/ETY%20visuals%20and%20brand/02_ToY%20LogoBook%20and%20logo/_LOGO%20PACK/RGB/PNG/ety_logo_RGB_PNG_1primary.png" id="33" name="image7.png"/>
          <a:graphic>
            <a:graphicData uri="http://schemas.openxmlformats.org/drawingml/2006/picture">
              <pic:pic>
                <pic:nvPicPr>
                  <pic:cNvPr descr="../../ETY2018/ETY%20visuals%20and%20brand/02_ToY%20LogoBook%20and%20logo/_LOGO%20PACK/RGB/PNG/ety_logo_RGB_PNG_1primary.png" id="0" name="image7.png"/>
                  <pic:cNvPicPr preferRelativeResize="0"/>
                </pic:nvPicPr>
                <pic:blipFill>
                  <a:blip r:embed="rId2"/>
                  <a:srcRect b="0" l="0" r="0" t="0"/>
                  <a:stretch>
                    <a:fillRect/>
                  </a:stretch>
                </pic:blipFill>
                <pic:spPr>
                  <a:xfrm>
                    <a:off x="0" y="0"/>
                    <a:ext cx="931545" cy="6089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treeoftheyear.org/vote/wrexham's-acton-park-sweet-chestnut" TargetMode="External"/><Relationship Id="rId22" Type="http://schemas.openxmlformats.org/officeDocument/2006/relationships/hyperlink" Target="https://www.treeoftheyear.org/vote/the-viiralts-oak" TargetMode="External"/><Relationship Id="rId21" Type="http://schemas.openxmlformats.org/officeDocument/2006/relationships/hyperlink" Target="https://www.treeoftheyear.org/vote/the-green-lady-of-the-krka-national-park" TargetMode="External"/><Relationship Id="rId24" Type="http://schemas.openxmlformats.org/officeDocument/2006/relationships/hyperlink" Target="https://www.treeoftheyear.org/vote/an-oak-that-remembers-the-palffy-family" TargetMode="External"/><Relationship Id="rId23" Type="http://schemas.openxmlformats.org/officeDocument/2006/relationships/hyperlink" Target="https://www.treeoftheyear.org/vote/the-cedar-of-the-sainte-marie-colle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nSBCoWaMOliBbDxrZLPjwPxMirl4sZh-" TargetMode="External"/><Relationship Id="rId26" Type="http://schemas.openxmlformats.org/officeDocument/2006/relationships/hyperlink" Target="http://www.treeoftheyear.org" TargetMode="External"/><Relationship Id="rId25" Type="http://schemas.openxmlformats.org/officeDocument/2006/relationships/hyperlink" Target="https://www.treeoftheyear.org/vote/lithuanias-patriarch-tree" TargetMode="External"/><Relationship Id="rId28" Type="http://schemas.openxmlformats.org/officeDocument/2006/relationships/image" Target="media/image1.jpg"/><Relationship Id="rId27" Type="http://schemas.openxmlformats.org/officeDocument/2006/relationships/hyperlink" Target="http://www.environmentalpartnership.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6.jpg"/><Relationship Id="rId7" Type="http://schemas.openxmlformats.org/officeDocument/2006/relationships/image" Target="media/image10.png"/><Relationship Id="rId8" Type="http://schemas.openxmlformats.org/officeDocument/2006/relationships/hyperlink" Target="http://www.treeoftheyear.org" TargetMode="External"/><Relationship Id="rId31" Type="http://schemas.openxmlformats.org/officeDocument/2006/relationships/image" Target="media/image8.png"/><Relationship Id="rId30" Type="http://schemas.openxmlformats.org/officeDocument/2006/relationships/image" Target="media/image4.gif"/><Relationship Id="rId11" Type="http://schemas.openxmlformats.org/officeDocument/2006/relationships/hyperlink" Target="https://www.treeoftheyear.org/vote/the-heart-of-the-garden" TargetMode="External"/><Relationship Id="rId33" Type="http://schemas.openxmlformats.org/officeDocument/2006/relationships/image" Target="media/image3.png"/><Relationship Id="rId10" Type="http://schemas.openxmlformats.org/officeDocument/2006/relationships/hyperlink" Target="http://www.treeoftheyear.org" TargetMode="External"/><Relationship Id="rId32" Type="http://schemas.openxmlformats.org/officeDocument/2006/relationships/image" Target="media/image2.jpg"/><Relationship Id="rId13" Type="http://schemas.openxmlformats.org/officeDocument/2006/relationships/hyperlink" Target="https://www.treeoftheyear.org/vote/the-thousand-year-old-olive-tree-of-luras" TargetMode="External"/><Relationship Id="rId35" Type="http://schemas.openxmlformats.org/officeDocument/2006/relationships/header" Target="header1.xml"/><Relationship Id="rId12" Type="http://schemas.openxmlformats.org/officeDocument/2006/relationships/hyperlink" Target="https://www.treeoftheyear.org/vote/the-weeping-beech-of-bayeux" TargetMode="External"/><Relationship Id="rId34" Type="http://schemas.openxmlformats.org/officeDocument/2006/relationships/image" Target="media/image5.png"/><Relationship Id="rId15" Type="http://schemas.openxmlformats.org/officeDocument/2006/relationships/hyperlink" Target="https://www.treeoftheyear.org/vote/pear-tree-in-the-middle-of-a-field" TargetMode="External"/><Relationship Id="rId14" Type="http://schemas.openxmlformats.org/officeDocument/2006/relationships/hyperlink" Target="https://www.treeoftheyear.org/vote/camellia" TargetMode="External"/><Relationship Id="rId36" Type="http://schemas.openxmlformats.org/officeDocument/2006/relationships/footer" Target="footer1.xml"/><Relationship Id="rId17" Type="http://schemas.openxmlformats.org/officeDocument/2006/relationships/hyperlink" Target="https://www.treeoftheyear.org/vote/the-spanish-oak-of-la-vega" TargetMode="External"/><Relationship Id="rId16" Type="http://schemas.openxmlformats.org/officeDocument/2006/relationships/hyperlink" Target="https://www.treeoftheyear.org/vote/the-maria-lime" TargetMode="External"/><Relationship Id="rId19" Type="http://schemas.openxmlformats.org/officeDocument/2006/relationships/hyperlink" Target="https://www.treeoftheyear.org/vote/kanepju-oak" TargetMode="External"/><Relationship Id="rId18" Type="http://schemas.openxmlformats.org/officeDocument/2006/relationships/hyperlink" Target="https://www.treeoftheyear.org/vote/the-millennium-oa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J/tiV7FoD6T2lxtTDD1Fie4H4Q==">CgMxLjAyCGguZ2pkZ3hzOAByITFwQmZJSFRuNjNMbE4yNWNUeTNVUHY3a18tTm5aQ3Z1UA==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